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76" w:lineRule="auto"/>
        <w:ind w:left="0" w:right="0" w:firstLine="0"/>
        <w:jc w:val="left"/>
        <w:rPr>
          <w:rFonts w:ascii="Times New Roman" w:cs="Times New Roman" w:eastAsia="Times New Roman" w:hAnsi="Times New Roman"/>
          <w:b w:val="1"/>
          <w:i w:val="0"/>
          <w:smallCaps w:val="0"/>
          <w:strike w:val="0"/>
          <w:color w:val="1f497d"/>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97d"/>
          <w:sz w:val="32"/>
          <w:szCs w:val="32"/>
          <w:u w:val="none"/>
          <w:shd w:fill="auto" w:val="clear"/>
          <w:vertAlign w:val="baseline"/>
          <w:rtl w:val="0"/>
        </w:rPr>
        <w:t xml:space="preserve">La formazione del personale</w:t>
      </w: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left"/>
        <w:rPr>
          <w:rFonts w:ascii="Times New Roman" w:cs="Times New Roman" w:eastAsia="Times New Roman" w:hAnsi="Times New Roman"/>
          <w:b w:val="1"/>
          <w:i w:val="0"/>
          <w:smallCaps w:val="0"/>
          <w:strike w:val="0"/>
          <w:color w:val="1f497d"/>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1f497d"/>
          <w:sz w:val="36"/>
          <w:szCs w:val="36"/>
          <w:u w:val="none"/>
          <w:shd w:fill="auto" w:val="clear"/>
          <w:vertAlign w:val="baseline"/>
          <w:rtl w:val="0"/>
        </w:rPr>
        <w:t xml:space="preserve">►La formazione educativo-didattica</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Il 7 gennaio 2016, il MIUR ha emanato la nota n. 35 con oggetto “Indicazioni e orientamenti per la definizione del piano triennale per la formazione del personale”, che stabilisce l’obbligatorietà, permanenza e strutturale di suddetta formazione all’interno del comma 124 in attuazione di quanto previsto dalla legge 107/2015. La formazione del personale docente si articola a livello nazionale e di istituzione scolastica o reti di scuole.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riguardo, il nostro </w:t>
      </w:r>
      <w:r w:rsidDel="00000000" w:rsidR="00000000" w:rsidRPr="00000000">
        <w:rPr>
          <w:rFonts w:ascii="Times New Roman" w:cs="Times New Roman" w:eastAsia="Times New Roman" w:hAnsi="Times New Roman"/>
          <w:sz w:val="24"/>
          <w:szCs w:val="24"/>
          <w:rtl w:val="0"/>
        </w:rPr>
        <w:t xml:space="preserve">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stituto ha aderito negli anni a diversi corsi di formazione proposti e destinati ai docenti curriculari, come parte dell’offerta formativa.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 partecipazione al corso di formazione è parte integrante del percorso progettuale del nostro Istituto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l’obiettivo che si vuole raggiungere tramite i detti corsi è unico: migliorare l’offerta formativa e favorire il successo formativo degli alunni.</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questo contesto si precisa che L’Istituto Floriani aderisce alla rete dei Centri Territoriali di Supporto all’Inclusione CTS/CTI ed alla Rete Trevi</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ed è partner dei seguenti progetti di formazione a livello rete:</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502"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Didattica Innovativa e Inclusiva nel progetto di vita (CTS-CTI)</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502"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Un’informatica informata e tutelata (CTS-CTI)</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502"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L’Insegnante di sostegno coordinatore competente nella gestione flessibile di metodologie speciali (CTS-CTI)</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502"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Rete dentro la rete (Rete Trevi)</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Inoltre i docenti partecipano alle iniziative annuali programmate a livello territoriale.</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inizio anno l’Istituto promuove azioni di formazione per tutti i docenti sulla Gestione della classe e sui Bisogni Educativi Speciali.</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aggiunta a quanto declinato e viste le Priorità indicate nel Piano di Miglioramento, l'Istituto si attiverà in primo luogo per: </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502"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programmare un corso di formazione rivolto a tutto il personale al fine di conseguire conoscenze e competenze relativamente alla stesura e all'osservanza di una Patto educativo, condizione fondamentale al fine di un effettivo miglioramento del nostro ambiente scolastico, prerequisito per ulteriori miglioramenti del successo formativo degli studenti.</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502"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organizzare corsi di formazione su metodologie specifiche per il recupero della dispersione scolastica.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Questo si è reso necessario in quanto l’area dello svantaggio scolastico è molto più ampia di quella riferibile esplicitamente alla presenza di deficit. In ogni classe del nostro Istituto ci sono alunni che presentano una richieste di speciale attenzione per una varietà di ragioni: svantaggio sociale e culturale, disturbi specifici di apprendimento e/o disturbi evolutivi specifici, difficoltà derivanti dalla non conoscenza della cultura e della lingua italiana perché appartenenti a culture diverse.</w:t>
        <w:br w:type="textWrapping"/>
        <w:t xml:space="preserve">Il numero di studenti con diagnosi di disturbi specifici dell’apprendimento (DSA) e con bisogni educativi speciali (BES) è significativamente aumentato negli ultimi anni. Nella maggior parte dei casi, tali studenti e loro famiglie hanno un vissuto di difficoltà e d’ insuccesso nel rendimento scolastico. </w:t>
      </w:r>
    </w:p>
    <w:p w:rsidR="00000000" w:rsidDel="00000000" w:rsidP="00000000" w:rsidRDefault="00000000" w:rsidRPr="00000000" w14:paraId="00000010">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Piano formazione docenti a.s. 2024-2025</w:t>
      </w:r>
    </w:p>
    <w:p w:rsidR="00000000" w:rsidDel="00000000" w:rsidP="00000000" w:rsidRDefault="00000000" w:rsidRPr="00000000" w14:paraId="00000012">
      <w:pPr>
        <w:widowControl w:val="0"/>
        <w:spacing w:after="240" w:before="10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Collegio all'unanimità approva i seguenti temi per la formazione docenti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Metodologie didattiche innovative con il digitale</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Creazione di risorse digitali e digital storytelling</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L’intelligenza artificiale nella scuola</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Realtà aumentata e virtuale con cospaces edu</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Corso di formazione – Educazione civica e cittadinanza digitale</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Videomaking</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Formazione funzioni del RE, rispetto della Privacy, utilizzo di Classroom</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Certificazione linguistica;</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Corso di formazione didattica in lingua inglese</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Corsi specifici certificati dal Ministero e/o da USR Lombardia – UST Monza e Brianza</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(Delibera n. 79 Collegio docenti del 13 giugno 2024)</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76"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jc w:val="both"/>
        <w:rPr>
          <w:rFonts w:ascii="Times New Roman" w:cs="Times New Roman" w:eastAsia="Times New Roman" w:hAnsi="Times New Roman"/>
          <w:sz w:val="24"/>
          <w:szCs w:val="24"/>
        </w:rPr>
      </w:pPr>
      <w:bookmarkStart w:colFirst="0" w:colLast="0" w:name="_heading=h.30j0zll" w:id="1"/>
      <w:bookmarkEnd w:id="1"/>
      <w:r w:rsidDel="00000000" w:rsidR="00000000" w:rsidRPr="00000000">
        <w:rPr>
          <w:rtl w:val="0"/>
        </w:rPr>
      </w:r>
    </w:p>
    <w:p w:rsidR="00000000" w:rsidDel="00000000" w:rsidP="00000000" w:rsidRDefault="00000000" w:rsidRPr="00000000" w14:paraId="00000023">
      <w:pPr>
        <w:jc w:val="both"/>
        <w:rPr>
          <w:rFonts w:ascii="Times New Roman" w:cs="Times New Roman" w:eastAsia="Times New Roman" w:hAnsi="Times New Roman"/>
          <w:strike w:val="1"/>
          <w:sz w:val="24"/>
          <w:szCs w:val="24"/>
          <w:u w:val="single"/>
        </w:rPr>
      </w:pPr>
      <w:r w:rsidDel="00000000" w:rsidR="00000000" w:rsidRPr="00000000">
        <w:rPr>
          <w:rtl w:val="0"/>
        </w:rPr>
      </w:r>
    </w:p>
    <w:p w:rsidR="00000000" w:rsidDel="00000000" w:rsidP="00000000" w:rsidRDefault="00000000" w:rsidRPr="00000000" w14:paraId="00000024">
      <w:pPr>
        <w:jc w:val="both"/>
        <w:rPr>
          <w:rFonts w:ascii="Times New Roman" w:cs="Times New Roman" w:eastAsia="Times New Roman" w:hAnsi="Times New Roman"/>
          <w:strike w:val="1"/>
          <w:sz w:val="24"/>
          <w:szCs w:val="24"/>
        </w:rPr>
      </w:pPr>
      <w:r w:rsidDel="00000000" w:rsidR="00000000" w:rsidRPr="00000000">
        <w:rPr>
          <w:rtl w:val="0"/>
        </w:rPr>
      </w:r>
    </w:p>
    <w:p w:rsidR="00000000" w:rsidDel="00000000" w:rsidP="00000000" w:rsidRDefault="00000000" w:rsidRPr="00000000" w14:paraId="00000025">
      <w:pPr>
        <w:jc w:val="both"/>
        <w:rPr>
          <w:rFonts w:ascii="Times New Roman" w:cs="Times New Roman" w:eastAsia="Times New Roman" w:hAnsi="Times New Roman"/>
          <w:strike w:val="1"/>
          <w:sz w:val="24"/>
          <w:szCs w:val="24"/>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02" w:hanging="360"/>
      </w:pPr>
      <w:rPr>
        <w:rFonts w:ascii="Noto Sans Symbols" w:cs="Noto Sans Symbols" w:eastAsia="Noto Sans Symbols" w:hAnsi="Noto Sans Symbols"/>
        <w:color w:val="00000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IT"/>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A14F63"/>
  </w:style>
  <w:style w:type="paragraph" w:styleId="Titolo2">
    <w:name w:val="heading 2"/>
    <w:basedOn w:val="Normale"/>
    <w:next w:val="Normale"/>
    <w:link w:val="Titolo2Carattere"/>
    <w:uiPriority w:val="9"/>
    <w:semiHidden w:val="1"/>
    <w:unhideWhenUsed w:val="1"/>
    <w:qFormat w:val="1"/>
    <w:rsid w:val="00AE2AC2"/>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Titolo3">
    <w:name w:val="heading 3"/>
    <w:basedOn w:val="Normale"/>
    <w:next w:val="Normale"/>
    <w:link w:val="Titolo3Carattere"/>
    <w:uiPriority w:val="9"/>
    <w:semiHidden w:val="1"/>
    <w:unhideWhenUsed w:val="1"/>
    <w:qFormat w:val="1"/>
    <w:rsid w:val="00AE2AC2"/>
    <w:pPr>
      <w:keepNext w:val="1"/>
      <w:keepLines w:val="1"/>
      <w:spacing w:after="0" w:before="200"/>
      <w:outlineLvl w:val="2"/>
    </w:pPr>
    <w:rPr>
      <w:rFonts w:asciiTheme="majorHAnsi" w:cstheme="majorBidi" w:eastAsiaTheme="majorEastAsia" w:hAnsiTheme="majorHAnsi"/>
      <w:b w:val="1"/>
      <w:bCs w:val="1"/>
      <w:color w:val="4f81bd" w:themeColor="accent1"/>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Paragrafoelenco">
    <w:name w:val="List Paragraph"/>
    <w:basedOn w:val="Normale"/>
    <w:uiPriority w:val="34"/>
    <w:qFormat w:val="1"/>
    <w:rsid w:val="001F6F34"/>
    <w:pPr>
      <w:ind w:left="720"/>
      <w:contextualSpacing w:val="1"/>
    </w:pPr>
  </w:style>
  <w:style w:type="paragraph" w:styleId="miocorpotesto" w:customStyle="1">
    <w:name w:val="mio_corpo_testo"/>
    <w:basedOn w:val="Corpotesto"/>
    <w:rsid w:val="00AE2AC2"/>
    <w:pPr>
      <w:suppressAutoHyphens w:val="1"/>
      <w:jc w:val="both"/>
    </w:pPr>
    <w:rPr>
      <w:rFonts w:ascii="Times New Roman" w:cs="Times New Roman" w:eastAsia="Times New Roman" w:hAnsi="Times New Roman"/>
      <w:sz w:val="24"/>
      <w:szCs w:val="20"/>
      <w:lang w:eastAsia="zh-CN"/>
    </w:rPr>
  </w:style>
  <w:style w:type="paragraph" w:styleId="mioelencopunt" w:customStyle="1">
    <w:name w:val="mio_elenco_punt"/>
    <w:basedOn w:val="miocorpotesto"/>
    <w:rsid w:val="00AE2AC2"/>
    <w:pPr>
      <w:numPr>
        <w:numId w:val="2"/>
      </w:numPr>
    </w:pPr>
  </w:style>
  <w:style w:type="paragraph" w:styleId="miotitolo2" w:customStyle="1">
    <w:name w:val="mio_titolo 2"/>
    <w:basedOn w:val="Titolo2"/>
    <w:rsid w:val="00AE2AC2"/>
    <w:pPr>
      <w:keepLines w:val="0"/>
      <w:suppressAutoHyphens w:val="1"/>
      <w:spacing w:after="240" w:before="360"/>
    </w:pPr>
    <w:rPr>
      <w:rFonts w:ascii="Times New Roman" w:cs="Times New Roman" w:eastAsia="Times New Roman" w:hAnsi="Times New Roman"/>
      <w:bCs w:val="0"/>
      <w:i w:val="1"/>
      <w:color w:val="1f497d"/>
      <w:sz w:val="32"/>
      <w:szCs w:val="28"/>
      <w:lang w:eastAsia="zh-CN"/>
    </w:rPr>
  </w:style>
  <w:style w:type="paragraph" w:styleId="miotitolo3" w:customStyle="1">
    <w:name w:val="mio_titolo 3"/>
    <w:basedOn w:val="Titolo3"/>
    <w:rsid w:val="00AE2AC2"/>
    <w:pPr>
      <w:keepLines w:val="0"/>
      <w:autoSpaceDE w:val="0"/>
      <w:spacing w:after="120" w:before="240"/>
    </w:pPr>
    <w:rPr>
      <w:rFonts w:ascii="Times New Roman" w:cs="Times New Roman" w:eastAsia="Times New Roman" w:hAnsi="Times New Roman"/>
      <w:color w:val="1f497d"/>
      <w:sz w:val="28"/>
      <w:szCs w:val="28"/>
      <w:lang w:eastAsia="zh-CN"/>
    </w:rPr>
  </w:style>
  <w:style w:type="character" w:styleId="Carattere9" w:customStyle="1">
    <w:name w:val="Carattere9"/>
    <w:rsid w:val="00AE2AC2"/>
    <w:rPr>
      <w:rFonts w:ascii="Times New Roman" w:cs="Times New Roman" w:eastAsia="Times New Roman" w:hAnsi="Times New Roman"/>
      <w:b w:val="1"/>
      <w:bCs w:val="1"/>
      <w:color w:val="1f497d"/>
      <w:kern w:val="1"/>
      <w:sz w:val="36"/>
      <w:szCs w:val="32"/>
    </w:rPr>
  </w:style>
  <w:style w:type="paragraph" w:styleId="Corpotesto">
    <w:name w:val="Body Text"/>
    <w:basedOn w:val="Normale"/>
    <w:link w:val="CorpotestoCarattere"/>
    <w:uiPriority w:val="99"/>
    <w:semiHidden w:val="1"/>
    <w:unhideWhenUsed w:val="1"/>
    <w:rsid w:val="00AE2AC2"/>
    <w:pPr>
      <w:spacing w:after="120"/>
    </w:pPr>
  </w:style>
  <w:style w:type="character" w:styleId="CorpotestoCarattere" w:customStyle="1">
    <w:name w:val="Corpo testo Carattere"/>
    <w:basedOn w:val="Carpredefinitoparagrafo"/>
    <w:link w:val="Corpotesto"/>
    <w:uiPriority w:val="99"/>
    <w:semiHidden w:val="1"/>
    <w:rsid w:val="00AE2AC2"/>
  </w:style>
  <w:style w:type="character" w:styleId="Titolo2Carattere" w:customStyle="1">
    <w:name w:val="Titolo 2 Carattere"/>
    <w:basedOn w:val="Carpredefinitoparagrafo"/>
    <w:link w:val="Titolo2"/>
    <w:uiPriority w:val="9"/>
    <w:semiHidden w:val="1"/>
    <w:rsid w:val="00AE2AC2"/>
    <w:rPr>
      <w:rFonts w:asciiTheme="majorHAnsi" w:cstheme="majorBidi" w:eastAsiaTheme="majorEastAsia" w:hAnsiTheme="majorHAnsi"/>
      <w:b w:val="1"/>
      <w:bCs w:val="1"/>
      <w:color w:val="4f81bd" w:themeColor="accent1"/>
      <w:sz w:val="26"/>
      <w:szCs w:val="26"/>
    </w:rPr>
  </w:style>
  <w:style w:type="character" w:styleId="Titolo3Carattere" w:customStyle="1">
    <w:name w:val="Titolo 3 Carattere"/>
    <w:basedOn w:val="Carpredefinitoparagrafo"/>
    <w:link w:val="Titolo3"/>
    <w:uiPriority w:val="9"/>
    <w:semiHidden w:val="1"/>
    <w:rsid w:val="00AE2AC2"/>
    <w:rPr>
      <w:rFonts w:asciiTheme="majorHAnsi" w:cstheme="majorBidi" w:eastAsiaTheme="majorEastAsia" w:hAnsiTheme="majorHAnsi"/>
      <w:b w:val="1"/>
      <w:bCs w:val="1"/>
      <w:color w:val="4f81bd" w:themeColor="accent1"/>
    </w:rPr>
  </w:style>
  <w:style w:type="character" w:styleId="Collegamentoipertestuale">
    <w:name w:val="Hyperlink"/>
    <w:rsid w:val="0054404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Lpi4mq3LNVJlnbDirG52LTCQVQ==">CgMxLjAyCGguZ2pkZ3hzMgloLjMwajB6bGw4AHIhMXFHcWg5NE9rT0hJRjZPZFVabUZRZ3J1TFFVWmNGZUxR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2019-10-28T17:02:00Z</dcterms:created>
  <dc:creator>docflor</dc:creator>
</cp:coreProperties>
</file>